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E5" w:rsidRDefault="00A712E5">
      <w:r>
        <w:t xml:space="preserve">COMMENT RECONNAITRE LES FONDATRICES ET LES MALES EN PERIODE DE REPRODUCTION </w:t>
      </w:r>
    </w:p>
    <w:p w:rsidR="00294D31" w:rsidRDefault="00A712E5">
      <w:r>
        <w:rPr>
          <w:noProof/>
          <w:lang w:eastAsia="fr-FR"/>
        </w:rPr>
        <w:drawing>
          <wp:inline distT="0" distB="0" distL="0" distR="0">
            <wp:extent cx="5760720" cy="3237256"/>
            <wp:effectExtent l="19050" t="0" r="0" b="0"/>
            <wp:docPr id="1" name="Image 1" descr="reconnaître le mâle de la femelle de frelon asi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nnaître le mâle de la femelle de frelon asiatiq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D31" w:rsidSect="0029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12E5"/>
    <w:rsid w:val="00294D31"/>
    <w:rsid w:val="00A7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LE BOULCH</dc:creator>
  <cp:lastModifiedBy>Alain LE BOULCH</cp:lastModifiedBy>
  <cp:revision>1</cp:revision>
  <dcterms:created xsi:type="dcterms:W3CDTF">2016-12-05T07:04:00Z</dcterms:created>
  <dcterms:modified xsi:type="dcterms:W3CDTF">2016-12-05T07:06:00Z</dcterms:modified>
</cp:coreProperties>
</file>